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F8B" w:rsidRPr="00BB5F8B" w:rsidRDefault="00BB5F8B" w:rsidP="00BB5F8B">
      <w:pPr>
        <w:spacing w:after="0" w:line="240" w:lineRule="auto"/>
        <w:rPr>
          <w:rFonts w:ascii="Calibri" w:eastAsia="Calibri" w:hAnsi="Calibri" w:cs="Times New Roman"/>
        </w:rPr>
      </w:pPr>
      <w:r>
        <w:rPr>
          <w:rFonts w:ascii="Calibri" w:eastAsia="Calibri" w:hAnsi="Calibri" w:cs="Times New Roman"/>
          <w:noProof/>
          <w:lang w:eastAsia="ru-RU"/>
        </w:rPr>
        <w:drawing>
          <wp:inline distT="0" distB="0" distL="0" distR="0">
            <wp:extent cx="2438400" cy="694481"/>
            <wp:effectExtent l="0" t="0" r="0" b="0"/>
            <wp:docPr id="4" name="Рисунок 4" descr="C:\Users\user2250\Desktop\логотип\! новый логотип\Логотип 2 Краснодарский кра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250\Desktop\логотип\! новый логотип\Логотип 2 Краснодарский край.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2687" cy="709942"/>
                    </a:xfrm>
                    <a:prstGeom prst="rect">
                      <a:avLst/>
                    </a:prstGeom>
                    <a:noFill/>
                    <a:ln>
                      <a:noFill/>
                    </a:ln>
                  </pic:spPr>
                </pic:pic>
              </a:graphicData>
            </a:graphic>
          </wp:inline>
        </w:drawing>
      </w:r>
      <w:r w:rsidRPr="00BB5F8B">
        <w:rPr>
          <w:rFonts w:ascii="Calibri" w:eastAsia="Calibri" w:hAnsi="Calibri" w:cs="Times New Roman"/>
        </w:rPr>
        <w:t xml:space="preserve">                                                                                                                                  </w:t>
      </w:r>
    </w:p>
    <w:p w:rsidR="00BB5F8B" w:rsidRPr="00BB5F8B" w:rsidRDefault="00BB5F8B" w:rsidP="00B970B1">
      <w:pPr>
        <w:spacing w:after="0" w:line="240" w:lineRule="auto"/>
        <w:rPr>
          <w:rFonts w:ascii="Calibri" w:eastAsia="Calibri" w:hAnsi="Calibri" w:cs="Times New Roman"/>
        </w:rPr>
      </w:pPr>
    </w:p>
    <w:p w:rsidR="0077466C" w:rsidRPr="0077466C" w:rsidRDefault="0077466C" w:rsidP="00B970B1">
      <w:pPr>
        <w:spacing w:after="0" w:line="240" w:lineRule="auto"/>
        <w:jc w:val="right"/>
        <w:rPr>
          <w:rFonts w:ascii="Times New Roman" w:eastAsia="Calibri" w:hAnsi="Times New Roman" w:cs="Times New Roman"/>
          <w:b/>
          <w:sz w:val="26"/>
          <w:szCs w:val="26"/>
        </w:rPr>
      </w:pPr>
    </w:p>
    <w:p w:rsidR="0077466C" w:rsidRPr="0077466C" w:rsidRDefault="0077466C" w:rsidP="00B970B1">
      <w:pPr>
        <w:spacing w:after="0" w:line="240" w:lineRule="auto"/>
        <w:rPr>
          <w:rFonts w:ascii="Times New Roman" w:eastAsia="Calibri" w:hAnsi="Times New Roman" w:cs="Times New Roman"/>
          <w:b/>
          <w:sz w:val="28"/>
          <w:szCs w:val="28"/>
        </w:rPr>
      </w:pPr>
    </w:p>
    <w:p w:rsidR="0077466C" w:rsidRPr="008C6897" w:rsidRDefault="00B970B1" w:rsidP="00B970B1">
      <w:pPr>
        <w:spacing w:after="0" w:line="240" w:lineRule="auto"/>
        <w:jc w:val="center"/>
        <w:rPr>
          <w:rFonts w:ascii="Times New Roman" w:eastAsia="Calibri" w:hAnsi="Times New Roman" w:cs="Times New Roman"/>
          <w:b/>
          <w:sz w:val="28"/>
          <w:szCs w:val="28"/>
        </w:rPr>
      </w:pPr>
      <w:r w:rsidRPr="00B970B1">
        <w:rPr>
          <w:rFonts w:ascii="Times New Roman" w:eastAsia="Calibri" w:hAnsi="Times New Roman" w:cs="Times New Roman"/>
          <w:b/>
          <w:sz w:val="28"/>
          <w:szCs w:val="28"/>
        </w:rPr>
        <w:t>Подарить недвижимость — просто</w:t>
      </w:r>
    </w:p>
    <w:p w:rsidR="0077466C" w:rsidRPr="0077466C" w:rsidRDefault="0077466C" w:rsidP="00B970B1">
      <w:pPr>
        <w:spacing w:after="0" w:line="240" w:lineRule="auto"/>
        <w:ind w:firstLine="709"/>
        <w:jc w:val="both"/>
        <w:rPr>
          <w:rFonts w:ascii="Times New Roman" w:eastAsia="Calibri" w:hAnsi="Times New Roman" w:cs="Times New Roman"/>
          <w:sz w:val="28"/>
          <w:szCs w:val="28"/>
        </w:rPr>
      </w:pP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Что значит дарение недвижимости?</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Подарить недвижимость — значит безвозмездно (без какого-либо встречного обязательства) передать на нее право собственности другому лицу. Процедура требует составления договора между дарителем и одаряемым. Только подписанный ими документ и зареги</w:t>
      </w:r>
      <w:r w:rsidR="00DB2BC1">
        <w:rPr>
          <w:rFonts w:ascii="Times New Roman" w:eastAsia="Calibri" w:hAnsi="Times New Roman" w:cs="Times New Roman"/>
          <w:bCs/>
          <w:sz w:val="28"/>
          <w:szCs w:val="28"/>
        </w:rPr>
        <w:t xml:space="preserve">стрированный на его основании в </w:t>
      </w:r>
      <w:bookmarkStart w:id="0" w:name="_GoBack"/>
      <w:bookmarkEnd w:id="0"/>
      <w:proofErr w:type="spellStart"/>
      <w:r w:rsidRPr="00B970B1">
        <w:rPr>
          <w:rFonts w:ascii="Times New Roman" w:eastAsia="Calibri" w:hAnsi="Times New Roman" w:cs="Times New Roman"/>
          <w:bCs/>
          <w:sz w:val="28"/>
          <w:szCs w:val="28"/>
        </w:rPr>
        <w:t>Росреестре</w:t>
      </w:r>
      <w:proofErr w:type="spellEnd"/>
      <w:r w:rsidRPr="00B970B1">
        <w:rPr>
          <w:rFonts w:ascii="Times New Roman" w:eastAsia="Calibri" w:hAnsi="Times New Roman" w:cs="Times New Roman"/>
          <w:bCs/>
          <w:sz w:val="28"/>
          <w:szCs w:val="28"/>
        </w:rPr>
        <w:t xml:space="preserve"> переход права свидетельствует о получении объекта недвижимости в собственность одаряемого.</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Что можно подарить?</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Предметом договора дарения может выступать объект недвижимости. Имущественное право, например, право т</w:t>
      </w:r>
      <w:r w:rsidR="00DB2BC1">
        <w:rPr>
          <w:rFonts w:ascii="Times New Roman" w:eastAsia="Calibri" w:hAnsi="Times New Roman" w:cs="Times New Roman"/>
          <w:bCs/>
          <w:sz w:val="28"/>
          <w:szCs w:val="28"/>
        </w:rPr>
        <w:t xml:space="preserve">ребования по договору участия в </w:t>
      </w:r>
      <w:r w:rsidRPr="00B970B1">
        <w:rPr>
          <w:rFonts w:ascii="Times New Roman" w:eastAsia="Calibri" w:hAnsi="Times New Roman" w:cs="Times New Roman"/>
          <w:bCs/>
          <w:sz w:val="28"/>
          <w:szCs w:val="28"/>
        </w:rPr>
        <w:t>долевом строительстве в отношении строящегося объекта недвижимости, может быть передано участником долевого строительства новому участнику долевого строительства безвозмездно по договору уступки права требования. Договор, который предусматривает передачу объекта недвижимости после смерти дарителя, считается ничтожным.</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Кто может дарить и получать в дар недвижимость?</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Дарение недвижимого имущества может совершить как сам собственник, так и ег</w:t>
      </w:r>
      <w:r w:rsidR="00DB2BC1">
        <w:rPr>
          <w:rFonts w:ascii="Times New Roman" w:eastAsia="Calibri" w:hAnsi="Times New Roman" w:cs="Times New Roman"/>
          <w:bCs/>
          <w:sz w:val="28"/>
          <w:szCs w:val="28"/>
        </w:rPr>
        <w:t xml:space="preserve">о представитель по доверенности </w:t>
      </w:r>
      <w:r w:rsidRPr="00B970B1">
        <w:rPr>
          <w:rFonts w:ascii="Times New Roman" w:eastAsia="Calibri" w:hAnsi="Times New Roman" w:cs="Times New Roman"/>
          <w:bCs/>
          <w:i/>
          <w:iCs/>
          <w:sz w:val="28"/>
          <w:szCs w:val="28"/>
        </w:rPr>
        <w:t>(в ней обязательно должен быть назван одаряемый и указан предмет дарения)</w:t>
      </w:r>
      <w:r w:rsidRPr="00B970B1">
        <w:rPr>
          <w:rFonts w:ascii="Times New Roman" w:eastAsia="Calibri" w:hAnsi="Times New Roman" w:cs="Times New Roman"/>
          <w:bCs/>
          <w:sz w:val="28"/>
          <w:szCs w:val="28"/>
        </w:rPr>
        <w:t>.</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Запрещается осуществлять дарение:</w:t>
      </w:r>
    </w:p>
    <w:p w:rsidR="00B970B1" w:rsidRPr="00B970B1" w:rsidRDefault="00B970B1" w:rsidP="00B970B1">
      <w:pPr>
        <w:numPr>
          <w:ilvl w:val="0"/>
          <w:numId w:val="2"/>
        </w:numPr>
        <w:tabs>
          <w:tab w:val="clear" w:pos="720"/>
          <w:tab w:val="num" w:pos="0"/>
        </w:tabs>
        <w:spacing w:after="120" w:line="240" w:lineRule="auto"/>
        <w:ind w:left="0"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от имени малолетних и граждан, признанных недееспособными, их законными представителями;</w:t>
      </w:r>
    </w:p>
    <w:p w:rsidR="00B970B1" w:rsidRPr="00B970B1" w:rsidRDefault="00B970B1" w:rsidP="00B970B1">
      <w:pPr>
        <w:numPr>
          <w:ilvl w:val="0"/>
          <w:numId w:val="2"/>
        </w:numPr>
        <w:tabs>
          <w:tab w:val="clear" w:pos="720"/>
          <w:tab w:val="num" w:pos="0"/>
        </w:tabs>
        <w:spacing w:after="120" w:line="240" w:lineRule="auto"/>
        <w:ind w:left="0"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работникам образовательных, медицинских, социальных организаций гражданами, находящимися на лечении, содержании или воспитании в этих учреждениях, в том числе, супругами и родственниками этих граждан;</w:t>
      </w:r>
    </w:p>
    <w:p w:rsidR="00B970B1" w:rsidRPr="00B970B1" w:rsidRDefault="00B970B1" w:rsidP="00B970B1">
      <w:pPr>
        <w:numPr>
          <w:ilvl w:val="0"/>
          <w:numId w:val="2"/>
        </w:numPr>
        <w:tabs>
          <w:tab w:val="clear" w:pos="720"/>
          <w:tab w:val="num" w:pos="0"/>
        </w:tabs>
        <w:spacing w:after="120" w:line="240" w:lineRule="auto"/>
        <w:ind w:left="0"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лицам, замещающим государственные и муниципальные должности в связи с их должностным положением или в связи с исполнением ими служебных обязанностей.</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Кому запрещается осущест</w:t>
      </w:r>
      <w:r w:rsidR="002D2BA1">
        <w:rPr>
          <w:rFonts w:ascii="Times New Roman" w:eastAsia="Calibri" w:hAnsi="Times New Roman" w:cs="Times New Roman"/>
          <w:bCs/>
          <w:sz w:val="28"/>
          <w:szCs w:val="28"/>
        </w:rPr>
        <w:t>влять дарение, можно посмотреть</w:t>
      </w:r>
      <w:r w:rsidR="002D2BA1">
        <w:rPr>
          <w:rFonts w:ascii="Times New Roman" w:eastAsia="Calibri" w:hAnsi="Times New Roman" w:cs="Times New Roman"/>
          <w:bCs/>
          <w:sz w:val="28"/>
          <w:szCs w:val="28"/>
        </w:rPr>
        <w:br/>
      </w:r>
      <w:r w:rsidRPr="00B970B1">
        <w:rPr>
          <w:rFonts w:ascii="Times New Roman" w:eastAsia="Calibri" w:hAnsi="Times New Roman" w:cs="Times New Roman"/>
          <w:bCs/>
          <w:sz w:val="28"/>
          <w:szCs w:val="28"/>
        </w:rPr>
        <w:t>в статье 575 ГК РФ.</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Как регистрируется переход права при дарении имущества?</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 xml:space="preserve">Правоустанавливающим документом в случае сделки дарения является договор, который не требует обязательного удостоверения у нотариуса, </w:t>
      </w:r>
      <w:r w:rsidRPr="00B970B1">
        <w:rPr>
          <w:rFonts w:ascii="Times New Roman" w:eastAsia="Calibri" w:hAnsi="Times New Roman" w:cs="Times New Roman"/>
          <w:bCs/>
          <w:sz w:val="28"/>
          <w:szCs w:val="28"/>
        </w:rPr>
        <w:lastRenderedPageBreak/>
        <w:t>за исключением случаев, предусмотренных законом, в частности, когда в дар преподносится доля в праве общей долевой собственности.</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Если сделка удостоверяется нотариусом, то заявитель может подать документы на регистрацию перехода права собственности через него.</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 xml:space="preserve">Какие документы представляются на </w:t>
      </w:r>
      <w:proofErr w:type="spellStart"/>
      <w:r w:rsidRPr="00B970B1">
        <w:rPr>
          <w:rFonts w:ascii="Times New Roman" w:eastAsia="Calibri" w:hAnsi="Times New Roman" w:cs="Times New Roman"/>
          <w:b/>
          <w:bCs/>
          <w:sz w:val="28"/>
          <w:szCs w:val="28"/>
        </w:rPr>
        <w:t>госрегистрацию</w:t>
      </w:r>
      <w:proofErr w:type="spellEnd"/>
      <w:r w:rsidRPr="00B970B1">
        <w:rPr>
          <w:rFonts w:ascii="Times New Roman" w:eastAsia="Calibri" w:hAnsi="Times New Roman" w:cs="Times New Roman"/>
          <w:b/>
          <w:bCs/>
          <w:sz w:val="28"/>
          <w:szCs w:val="28"/>
        </w:rPr>
        <w:t>?</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Оригиналы заявлений о регистрации от дарителя и одаряемого, паспорта, оригинал доверенности (если обращается представитель), оригинал договора дарения. Могут быть также представлены иные документы, например, нотариальное согласие супруга дарителя, если недвижимость, передаваемая в дар, приобретена дарителем в период брака на совместно нажитые денежные средства, при отсутствии в пакете документов которого переход права зарегистрируют, но в ЕГРН внесут отметку, что на регистрацию не было представлено согласие супруга (сделка по распоряжению одним из супругов общим недвижимым имуществом при отсутствии согласия другого супруга может быть оспорена в суде).</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За регистрацию права собственности на квартиру одаряемый (физическое лицо) должен уплатить пошлину в размере 2 000 руб.</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Каким способом можно подать документы на регистрацию сделки дарения?</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Подать документы в Росреестр можно через нотариуса, который удостоверил договор дарения, через офисы МФЦ, на выездном приеме, который осуществляет Роскадастр, в электронном виде через Личный кабинет на сайте Росреестра, но в данном случае потребуется приобрести электронно-цифровые подписи.</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
          <w:bCs/>
          <w:sz w:val="28"/>
          <w:szCs w:val="28"/>
        </w:rPr>
        <w:t>Можно ли расторгнуть договор дарения?</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После регистрации перехода права собственности к одаряемому по соглашению расторгнуть договор дарения уже не получится, так как договор считается исполненным. Поэтому расторжение таких договоров возможно только в судебном порядке.</w:t>
      </w:r>
    </w:p>
    <w:p w:rsidR="00B970B1" w:rsidRPr="00B970B1" w:rsidRDefault="00B970B1" w:rsidP="00B970B1">
      <w:pPr>
        <w:spacing w:after="12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В данном случае отмена дарения также осуществляется в судебном порядке.</w:t>
      </w:r>
    </w:p>
    <w:p w:rsidR="00CF374B" w:rsidRPr="00CF374B" w:rsidRDefault="00B970B1" w:rsidP="00963C16">
      <w:pPr>
        <w:spacing w:after="0" w:line="240" w:lineRule="auto"/>
        <w:ind w:firstLine="709"/>
        <w:jc w:val="both"/>
        <w:rPr>
          <w:rFonts w:ascii="Times New Roman" w:eastAsia="Calibri" w:hAnsi="Times New Roman" w:cs="Times New Roman"/>
          <w:bCs/>
          <w:sz w:val="28"/>
          <w:szCs w:val="28"/>
        </w:rPr>
      </w:pPr>
      <w:r w:rsidRPr="00B970B1">
        <w:rPr>
          <w:rFonts w:ascii="Times New Roman" w:eastAsia="Calibri" w:hAnsi="Times New Roman" w:cs="Times New Roman"/>
          <w:bCs/>
          <w:sz w:val="28"/>
          <w:szCs w:val="28"/>
        </w:rPr>
        <w:t xml:space="preserve">В договоре дарения может быть обусловлено право дарителя отменить дарение в случае, если он переживет одаряемого. В этом случае на </w:t>
      </w:r>
      <w:proofErr w:type="spellStart"/>
      <w:r w:rsidRPr="00B970B1">
        <w:rPr>
          <w:rFonts w:ascii="Times New Roman" w:eastAsia="Calibri" w:hAnsi="Times New Roman" w:cs="Times New Roman"/>
          <w:bCs/>
          <w:sz w:val="28"/>
          <w:szCs w:val="28"/>
        </w:rPr>
        <w:t>госрегистрацию</w:t>
      </w:r>
      <w:proofErr w:type="spellEnd"/>
      <w:r w:rsidRPr="00B970B1">
        <w:rPr>
          <w:rFonts w:ascii="Times New Roman" w:eastAsia="Calibri" w:hAnsi="Times New Roman" w:cs="Times New Roman"/>
          <w:bCs/>
          <w:sz w:val="28"/>
          <w:szCs w:val="28"/>
        </w:rPr>
        <w:t xml:space="preserve"> даритель представляет заявление о регистрации с приложением копии свидетельства о смерти ода</w:t>
      </w:r>
      <w:r>
        <w:rPr>
          <w:rFonts w:ascii="Times New Roman" w:eastAsia="Calibri" w:hAnsi="Times New Roman" w:cs="Times New Roman"/>
          <w:bCs/>
          <w:sz w:val="28"/>
          <w:szCs w:val="28"/>
        </w:rPr>
        <w:t>ряемого и оплачивает госпошлину</w:t>
      </w:r>
      <w:r w:rsidR="00CF374B" w:rsidRPr="00CF374B">
        <w:rPr>
          <w:rFonts w:ascii="Times New Roman" w:eastAsia="Calibri" w:hAnsi="Times New Roman" w:cs="Times New Roman"/>
          <w:bCs/>
          <w:sz w:val="28"/>
          <w:szCs w:val="28"/>
        </w:rPr>
        <w:t>.</w:t>
      </w:r>
    </w:p>
    <w:p w:rsidR="0077466C" w:rsidRPr="0077466C" w:rsidRDefault="0077466C" w:rsidP="00105E04">
      <w:pPr>
        <w:spacing w:after="0" w:line="36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______________________________________________________________________________________________________</w:t>
      </w:r>
    </w:p>
    <w:p w:rsidR="0077466C" w:rsidRPr="00105E04" w:rsidRDefault="0077466C" w:rsidP="00105E04">
      <w:pPr>
        <w:spacing w:after="0" w:line="240" w:lineRule="auto"/>
        <w:jc w:val="both"/>
        <w:rPr>
          <w:rFonts w:ascii="Segoe UI" w:eastAsia="Times New Roman" w:hAnsi="Segoe UI" w:cs="Segoe UI"/>
          <w:color w:val="000000"/>
          <w:sz w:val="24"/>
          <w:szCs w:val="28"/>
          <w:lang w:eastAsia="ru-RU"/>
        </w:rPr>
      </w:pPr>
      <w:r w:rsidRPr="0077466C">
        <w:rPr>
          <w:rFonts w:ascii="Segoe UI" w:eastAsia="Times New Roman" w:hAnsi="Segoe UI" w:cs="Segoe UI"/>
          <w:color w:val="000000"/>
          <w:sz w:val="24"/>
          <w:szCs w:val="28"/>
          <w:lang w:eastAsia="ru-RU"/>
        </w:rPr>
        <w:t xml:space="preserve">Пресс-служба </w:t>
      </w:r>
      <w:r w:rsidR="00B7027B">
        <w:rPr>
          <w:rFonts w:ascii="Segoe UI" w:eastAsia="Times New Roman" w:hAnsi="Segoe UI" w:cs="Segoe UI"/>
          <w:color w:val="000000"/>
          <w:sz w:val="24"/>
          <w:szCs w:val="28"/>
          <w:lang w:eastAsia="ru-RU"/>
        </w:rPr>
        <w:t>филиала ППК «Роскадастр» по</w:t>
      </w:r>
      <w:r w:rsidRPr="0077466C">
        <w:rPr>
          <w:rFonts w:ascii="Segoe UI" w:eastAsia="Times New Roman" w:hAnsi="Segoe UI" w:cs="Segoe UI"/>
          <w:color w:val="000000"/>
          <w:sz w:val="24"/>
          <w:szCs w:val="28"/>
          <w:lang w:eastAsia="ru-RU"/>
        </w:rPr>
        <w:t xml:space="preserve"> Краснодарскому краю</w:t>
      </w:r>
    </w:p>
    <w:tbl>
      <w:tblPr>
        <w:tblW w:w="10295" w:type="dxa"/>
        <w:jc w:val="center"/>
        <w:tblLayout w:type="fixed"/>
        <w:tblLook w:val="04A0" w:firstRow="1" w:lastRow="0" w:firstColumn="1" w:lastColumn="0" w:noHBand="0" w:noVBand="1"/>
      </w:tblPr>
      <w:tblGrid>
        <w:gridCol w:w="775"/>
        <w:gridCol w:w="4453"/>
        <w:gridCol w:w="956"/>
        <w:gridCol w:w="4111"/>
      </w:tblGrid>
      <w:tr w:rsidR="0077466C" w:rsidRPr="0077466C" w:rsidTr="00105E04">
        <w:trPr>
          <w:jc w:val="center"/>
        </w:trPr>
        <w:tc>
          <w:tcPr>
            <w:tcW w:w="775" w:type="dxa"/>
            <w:hideMark/>
          </w:tcPr>
          <w:p w:rsidR="0077466C" w:rsidRPr="0077466C" w:rsidRDefault="0077466C" w:rsidP="0077466C">
            <w:pPr>
              <w:spacing w:after="0" w:line="240" w:lineRule="auto"/>
              <w:contextualSpacing/>
              <w:rPr>
                <w:rFonts w:ascii="Segoe UI" w:eastAsia="Times New Roman" w:hAnsi="Segoe UI" w:cs="Segoe UI"/>
                <w:color w:val="0000FF"/>
                <w:sz w:val="24"/>
                <w:szCs w:val="28"/>
                <w:lang w:eastAsia="ru-RU"/>
              </w:rPr>
            </w:pPr>
            <w:r w:rsidRPr="0077466C">
              <w:rPr>
                <w:rFonts w:ascii="Segoe UI" w:eastAsia="Times New Roman" w:hAnsi="Segoe UI" w:cs="Segoe UI"/>
                <w:noProof/>
                <w:color w:val="0000FF"/>
                <w:sz w:val="24"/>
                <w:szCs w:val="28"/>
                <w:lang w:eastAsia="ru-RU"/>
              </w:rPr>
              <w:drawing>
                <wp:inline distT="0" distB="0" distL="0" distR="0" wp14:anchorId="27F37EA8" wp14:editId="434EB950">
                  <wp:extent cx="361950" cy="361950"/>
                  <wp:effectExtent l="19050" t="0" r="0" b="0"/>
                  <wp:docPr id="3" name="Рисунок 3"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9"/>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vAlign w:val="center"/>
            <w:hideMark/>
          </w:tcPr>
          <w:p w:rsidR="0077466C" w:rsidRPr="00EF4834" w:rsidRDefault="00F23106" w:rsidP="00105E04">
            <w:pPr>
              <w:spacing w:after="0" w:line="240" w:lineRule="auto"/>
              <w:contextualSpacing/>
              <w:rPr>
                <w:rFonts w:ascii="Segoe UI" w:eastAsia="Times New Roman" w:hAnsi="Segoe UI" w:cs="Segoe UI"/>
                <w:color w:val="0000FF"/>
                <w:szCs w:val="28"/>
                <w:u w:val="single"/>
                <w:lang w:eastAsia="ru-RU"/>
              </w:rPr>
            </w:pPr>
            <w:hyperlink r:id="rId10" w:history="1">
              <w:r w:rsidR="0077466C" w:rsidRPr="00EF4834">
                <w:rPr>
                  <w:rFonts w:ascii="Segoe UI" w:eastAsia="Times New Roman" w:hAnsi="Segoe UI" w:cs="Segoe UI"/>
                  <w:color w:val="0000FF"/>
                  <w:szCs w:val="28"/>
                  <w:u w:val="single"/>
                  <w:lang w:eastAsia="ru-RU"/>
                </w:rPr>
                <w:t>press23@23.kadastr.ru</w:t>
              </w:r>
            </w:hyperlink>
          </w:p>
        </w:tc>
        <w:tc>
          <w:tcPr>
            <w:tcW w:w="956" w:type="dxa"/>
            <w:hideMark/>
          </w:tcPr>
          <w:p w:rsidR="0077466C" w:rsidRPr="0077466C" w:rsidRDefault="00A17331" w:rsidP="0005193A">
            <w:pPr>
              <w:spacing w:after="0" w:line="240" w:lineRule="auto"/>
              <w:contextualSpacing/>
              <w:jc w:val="center"/>
              <w:rPr>
                <w:rFonts w:ascii="Segoe UI" w:eastAsia="Calibri" w:hAnsi="Segoe UI" w:cs="Segoe UI"/>
                <w:noProof/>
                <w:color w:val="0563C1"/>
                <w:u w:val="single"/>
              </w:rPr>
            </w:pPr>
            <w:r w:rsidRPr="00EF4834">
              <w:rPr>
                <w:rFonts w:ascii="Segoe UI" w:eastAsia="Times New Roman" w:hAnsi="Segoe UI" w:cs="Segoe UI"/>
                <w:noProof/>
                <w:color w:val="0000FF"/>
                <w:szCs w:val="28"/>
                <w:lang w:eastAsia="ru-RU"/>
              </w:rPr>
              <w:drawing>
                <wp:inline distT="0" distB="0" distL="0" distR="0" wp14:anchorId="47753FC2" wp14:editId="781BBD68">
                  <wp:extent cx="354965" cy="354330"/>
                  <wp:effectExtent l="0" t="0" r="6985"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965" cy="354330"/>
                          </a:xfrm>
                          <a:prstGeom prst="rect">
                            <a:avLst/>
                          </a:prstGeom>
                          <a:noFill/>
                          <a:ln w="9525">
                            <a:noFill/>
                            <a:miter lim="800000"/>
                            <a:headEnd/>
                            <a:tailEnd/>
                          </a:ln>
                        </pic:spPr>
                      </pic:pic>
                    </a:graphicData>
                  </a:graphic>
                </wp:inline>
              </w:drawing>
            </w:r>
          </w:p>
        </w:tc>
        <w:tc>
          <w:tcPr>
            <w:tcW w:w="4111" w:type="dxa"/>
            <w:vAlign w:val="center"/>
            <w:hideMark/>
          </w:tcPr>
          <w:p w:rsidR="0077466C" w:rsidRPr="0077466C" w:rsidRDefault="00A17331" w:rsidP="00105E04">
            <w:pPr>
              <w:spacing w:after="0" w:line="240" w:lineRule="auto"/>
              <w:contextualSpacing/>
              <w:rPr>
                <w:rFonts w:ascii="Segoe UI" w:eastAsia="Calibri" w:hAnsi="Segoe UI" w:cs="Segoe UI"/>
                <w:color w:val="0000FF"/>
                <w:szCs w:val="28"/>
                <w:u w:val="single"/>
              </w:rPr>
            </w:pPr>
            <w:r w:rsidRPr="00A17331">
              <w:rPr>
                <w:rFonts w:ascii="Segoe UI" w:eastAsia="Calibri" w:hAnsi="Segoe UI" w:cs="Segoe UI"/>
                <w:color w:val="0000FF"/>
                <w:szCs w:val="28"/>
                <w:u w:val="single"/>
              </w:rPr>
              <w:t>https://vk.com/kadastr_krd</w:t>
            </w:r>
          </w:p>
        </w:tc>
      </w:tr>
      <w:tr w:rsidR="00A17331" w:rsidRPr="0077466C" w:rsidTr="00105E04">
        <w:trPr>
          <w:jc w:val="center"/>
        </w:trPr>
        <w:tc>
          <w:tcPr>
            <w:tcW w:w="775" w:type="dxa"/>
          </w:tcPr>
          <w:p w:rsidR="00A17331" w:rsidRPr="0005193A" w:rsidRDefault="0005193A" w:rsidP="0005193A">
            <w:pPr>
              <w:spacing w:after="0" w:line="240" w:lineRule="auto"/>
              <w:contextualSpacing/>
              <w:jc w:val="center"/>
              <w:rPr>
                <w:rFonts w:ascii="Segoe UI" w:eastAsia="Times New Roman" w:hAnsi="Segoe UI" w:cs="Segoe UI"/>
                <w:noProof/>
                <w:color w:val="0000FF"/>
                <w:sz w:val="24"/>
                <w:szCs w:val="28"/>
                <w:lang w:eastAsia="ru-RU"/>
              </w:rPr>
            </w:pPr>
            <w:r w:rsidRPr="0005193A">
              <w:rPr>
                <w:rFonts w:ascii="Segoe UI" w:eastAsia="Times New Roman" w:hAnsi="Segoe UI" w:cs="Segoe UI"/>
                <w:noProof/>
                <w:color w:val="0000FF"/>
                <w:szCs w:val="28"/>
                <w:lang w:eastAsia="ru-RU"/>
              </w:rPr>
              <w:drawing>
                <wp:inline distT="0" distB="0" distL="0" distR="0" wp14:anchorId="5499A878" wp14:editId="25E0EA53">
                  <wp:extent cx="333375" cy="333375"/>
                  <wp:effectExtent l="0" t="0" r="9525" b="9525"/>
                  <wp:docPr id="7" name="Рисунок 7" descr="\\10.23.141.10\окиад\6. Взаимодействие со СМИ\10. логотип\Логотип Роскадастра\Фирменный знак\RGB\Фирменный зна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3.141.10\окиад\6. Взаимодействие со СМИ\10. логотип\Логотип Роскадастра\Фирменный знак\RGB\Фирменный знак.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4453" w:type="dxa"/>
            <w:vAlign w:val="center"/>
          </w:tcPr>
          <w:p w:rsidR="00A17331" w:rsidRPr="00EF4834" w:rsidRDefault="00A17331" w:rsidP="0005193A">
            <w:pPr>
              <w:spacing w:after="0" w:line="240" w:lineRule="auto"/>
              <w:contextualSpacing/>
            </w:pPr>
            <w:r w:rsidRPr="00EF4834">
              <w:rPr>
                <w:rFonts w:ascii="Segoe UI" w:eastAsia="Times New Roman" w:hAnsi="Segoe UI" w:cs="Segoe UI"/>
                <w:color w:val="0000FF"/>
                <w:szCs w:val="28"/>
                <w:u w:val="single"/>
                <w:lang w:eastAsia="ru-RU"/>
              </w:rPr>
              <w:t>https://kadastr.ru</w:t>
            </w:r>
          </w:p>
        </w:tc>
        <w:tc>
          <w:tcPr>
            <w:tcW w:w="956" w:type="dxa"/>
          </w:tcPr>
          <w:p w:rsidR="00A17331" w:rsidRPr="0077466C" w:rsidRDefault="00A17331" w:rsidP="0077466C">
            <w:pPr>
              <w:spacing w:after="0" w:line="240" w:lineRule="auto"/>
              <w:contextualSpacing/>
              <w:rPr>
                <w:rFonts w:ascii="Segoe UI" w:eastAsia="Calibri" w:hAnsi="Segoe UI" w:cs="Segoe UI"/>
                <w:noProof/>
                <w:color w:val="0000FF"/>
                <w:lang w:eastAsia="ru-RU"/>
              </w:rPr>
            </w:pPr>
            <w:r w:rsidRPr="0077466C">
              <w:rPr>
                <w:rFonts w:ascii="Segoe UI" w:eastAsia="Calibri" w:hAnsi="Segoe UI" w:cs="Segoe UI"/>
                <w:noProof/>
                <w:color w:val="0000FF"/>
                <w:lang w:eastAsia="ru-RU"/>
              </w:rPr>
              <w:drawing>
                <wp:inline distT="0" distB="0" distL="0" distR="0" wp14:anchorId="204F04AE" wp14:editId="12734315">
                  <wp:extent cx="361950" cy="361950"/>
                  <wp:effectExtent l="19050" t="0" r="0" b="0"/>
                  <wp:docPr id="6" name="Рисунок 6"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111" w:type="dxa"/>
            <w:vAlign w:val="center"/>
          </w:tcPr>
          <w:p w:rsidR="00A17331" w:rsidRPr="0077466C" w:rsidRDefault="00A17331" w:rsidP="00105E04">
            <w:pPr>
              <w:spacing w:after="0" w:line="240" w:lineRule="auto"/>
              <w:contextualSpacing/>
              <w:rPr>
                <w:rFonts w:ascii="Segoe UI" w:eastAsia="Calibri" w:hAnsi="Segoe UI" w:cs="Segoe UI"/>
                <w:color w:val="0000FF"/>
                <w:szCs w:val="28"/>
                <w:u w:val="single"/>
              </w:rPr>
            </w:pPr>
            <w:r w:rsidRPr="0077466C">
              <w:rPr>
                <w:rFonts w:ascii="Segoe UI" w:eastAsia="Calibri" w:hAnsi="Segoe UI" w:cs="Segoe UI"/>
                <w:color w:val="0000FF"/>
                <w:szCs w:val="28"/>
                <w:u w:val="single"/>
              </w:rPr>
              <w:t>https://t.me/kadastr_kuban</w:t>
            </w:r>
          </w:p>
        </w:tc>
      </w:tr>
    </w:tbl>
    <w:p w:rsidR="00E00A4E" w:rsidRPr="0077466C" w:rsidRDefault="00E00A4E" w:rsidP="0077466C">
      <w:pPr>
        <w:rPr>
          <w:sz w:val="2"/>
        </w:rPr>
      </w:pPr>
    </w:p>
    <w:sectPr w:rsidR="00E00A4E" w:rsidRPr="0077466C" w:rsidSect="00D13DFC">
      <w:footerReference w:type="default" r:id="rId1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106" w:rsidRDefault="00F23106">
      <w:pPr>
        <w:spacing w:after="0" w:line="240" w:lineRule="auto"/>
      </w:pPr>
      <w:r>
        <w:separator/>
      </w:r>
    </w:p>
  </w:endnote>
  <w:endnote w:type="continuationSeparator" w:id="0">
    <w:p w:rsidR="00F23106" w:rsidRDefault="00F2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 xml:space="preserve">ул. </w:t>
    </w:r>
    <w:proofErr w:type="spellStart"/>
    <w:r w:rsidRPr="00D13DFC">
      <w:rPr>
        <w:rFonts w:ascii="Times New Roman" w:eastAsia="Calibri" w:hAnsi="Times New Roman" w:cs="Times New Roman"/>
        <w:sz w:val="20"/>
      </w:rPr>
      <w:t>Сормовская</w:t>
    </w:r>
    <w:proofErr w:type="spellEnd"/>
    <w:r w:rsidRPr="00D13DFC">
      <w:rPr>
        <w:rFonts w:ascii="Times New Roman" w:eastAsia="Calibri" w:hAnsi="Times New Roman" w:cs="Times New Roman"/>
        <w:sz w:val="20"/>
      </w:rPr>
      <w:t>, д. 3, 350018</w:t>
    </w:r>
  </w:p>
  <w:p w:rsidR="00D13DFC" w:rsidRPr="00D13DFC" w:rsidRDefault="0077466C" w:rsidP="00D13DFC">
    <w:pPr>
      <w:tabs>
        <w:tab w:val="center" w:pos="4677"/>
        <w:tab w:val="right" w:pos="9355"/>
      </w:tabs>
      <w:spacing w:after="0" w:line="240" w:lineRule="auto"/>
      <w:jc w:val="center"/>
      <w:rPr>
        <w:rFonts w:ascii="Times New Roman" w:eastAsia="Calibri" w:hAnsi="Times New Roman" w:cs="Times New Roman"/>
        <w:sz w:val="20"/>
      </w:rPr>
    </w:pPr>
    <w:r w:rsidRPr="00D13DFC">
      <w:rPr>
        <w:rFonts w:ascii="Times New Roman" w:eastAsia="Calibri" w:hAnsi="Times New Roman" w:cs="Times New Roman"/>
        <w:sz w:val="20"/>
      </w:rPr>
      <w:t>press23@23.kadastr.ru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106" w:rsidRDefault="00F23106">
      <w:pPr>
        <w:spacing w:after="0" w:line="240" w:lineRule="auto"/>
      </w:pPr>
      <w:r>
        <w:separator/>
      </w:r>
    </w:p>
  </w:footnote>
  <w:footnote w:type="continuationSeparator" w:id="0">
    <w:p w:rsidR="00F23106" w:rsidRDefault="00F23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579C"/>
    <w:multiLevelType w:val="multilevel"/>
    <w:tmpl w:val="9640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7127F6"/>
    <w:multiLevelType w:val="hybridMultilevel"/>
    <w:tmpl w:val="6B864B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75"/>
    <w:rsid w:val="000012FD"/>
    <w:rsid w:val="00017087"/>
    <w:rsid w:val="0005193A"/>
    <w:rsid w:val="00072FF4"/>
    <w:rsid w:val="000A111F"/>
    <w:rsid w:val="000A3BEE"/>
    <w:rsid w:val="000B3C35"/>
    <w:rsid w:val="000F0F07"/>
    <w:rsid w:val="00105E04"/>
    <w:rsid w:val="001F3980"/>
    <w:rsid w:val="0023144D"/>
    <w:rsid w:val="0024387E"/>
    <w:rsid w:val="00296584"/>
    <w:rsid w:val="002A7703"/>
    <w:rsid w:val="002D2BA1"/>
    <w:rsid w:val="002D3275"/>
    <w:rsid w:val="00324CBE"/>
    <w:rsid w:val="0034104E"/>
    <w:rsid w:val="0037475B"/>
    <w:rsid w:val="003C36D6"/>
    <w:rsid w:val="0041190C"/>
    <w:rsid w:val="00444E74"/>
    <w:rsid w:val="00446818"/>
    <w:rsid w:val="00470F90"/>
    <w:rsid w:val="00477694"/>
    <w:rsid w:val="00515CD5"/>
    <w:rsid w:val="0058459D"/>
    <w:rsid w:val="00584D0E"/>
    <w:rsid w:val="005B1726"/>
    <w:rsid w:val="005B56F2"/>
    <w:rsid w:val="005E110E"/>
    <w:rsid w:val="005E60F3"/>
    <w:rsid w:val="00641EF3"/>
    <w:rsid w:val="00654A72"/>
    <w:rsid w:val="00654EE6"/>
    <w:rsid w:val="006744D8"/>
    <w:rsid w:val="00691B2F"/>
    <w:rsid w:val="0070555E"/>
    <w:rsid w:val="00743E3C"/>
    <w:rsid w:val="0077466C"/>
    <w:rsid w:val="00787F93"/>
    <w:rsid w:val="007A25B8"/>
    <w:rsid w:val="007A2A78"/>
    <w:rsid w:val="007E0418"/>
    <w:rsid w:val="007F567D"/>
    <w:rsid w:val="00800763"/>
    <w:rsid w:val="008421FF"/>
    <w:rsid w:val="00866B6B"/>
    <w:rsid w:val="00867A11"/>
    <w:rsid w:val="00890A71"/>
    <w:rsid w:val="008B74AF"/>
    <w:rsid w:val="008C6897"/>
    <w:rsid w:val="008D7164"/>
    <w:rsid w:val="008D7A24"/>
    <w:rsid w:val="0091336D"/>
    <w:rsid w:val="00963C16"/>
    <w:rsid w:val="009C53B6"/>
    <w:rsid w:val="009E1D67"/>
    <w:rsid w:val="00A17331"/>
    <w:rsid w:val="00A32927"/>
    <w:rsid w:val="00A357F4"/>
    <w:rsid w:val="00A64E18"/>
    <w:rsid w:val="00A833DC"/>
    <w:rsid w:val="00AB6803"/>
    <w:rsid w:val="00B17273"/>
    <w:rsid w:val="00B252F6"/>
    <w:rsid w:val="00B7027B"/>
    <w:rsid w:val="00B970B1"/>
    <w:rsid w:val="00BA0773"/>
    <w:rsid w:val="00BB51B9"/>
    <w:rsid w:val="00BB5F8B"/>
    <w:rsid w:val="00CF374B"/>
    <w:rsid w:val="00CF6E08"/>
    <w:rsid w:val="00D43EB1"/>
    <w:rsid w:val="00D75255"/>
    <w:rsid w:val="00DA227D"/>
    <w:rsid w:val="00DB2BC1"/>
    <w:rsid w:val="00DC2396"/>
    <w:rsid w:val="00DF4926"/>
    <w:rsid w:val="00E00A4E"/>
    <w:rsid w:val="00E666BD"/>
    <w:rsid w:val="00E9340A"/>
    <w:rsid w:val="00EA5909"/>
    <w:rsid w:val="00EF13F5"/>
    <w:rsid w:val="00EF4834"/>
    <w:rsid w:val="00F11092"/>
    <w:rsid w:val="00F23106"/>
    <w:rsid w:val="00FB0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7054"/>
  <w15:chartTrackingRefBased/>
  <w15:docId w15:val="{F1AFF008-4727-430E-88DC-A75D67F2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092"/>
    <w:pPr>
      <w:ind w:left="720"/>
      <w:contextualSpacing/>
    </w:pPr>
  </w:style>
  <w:style w:type="character" w:styleId="a4">
    <w:name w:val="Hyperlink"/>
    <w:basedOn w:val="a0"/>
    <w:uiPriority w:val="99"/>
    <w:unhideWhenUsed/>
    <w:rsid w:val="00A357F4"/>
    <w:rPr>
      <w:color w:val="0000FF" w:themeColor="hyperlink"/>
      <w:u w:val="single"/>
    </w:rPr>
  </w:style>
  <w:style w:type="paragraph" w:styleId="a5">
    <w:name w:val="Normal (Web)"/>
    <w:basedOn w:val="a"/>
    <w:uiPriority w:val="99"/>
    <w:semiHidden/>
    <w:unhideWhenUsed/>
    <w:rsid w:val="000A1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4104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1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97306">
      <w:bodyDiv w:val="1"/>
      <w:marLeft w:val="0"/>
      <w:marRight w:val="0"/>
      <w:marTop w:val="0"/>
      <w:marBottom w:val="0"/>
      <w:divBdr>
        <w:top w:val="none" w:sz="0" w:space="0" w:color="auto"/>
        <w:left w:val="none" w:sz="0" w:space="0" w:color="auto"/>
        <w:bottom w:val="none" w:sz="0" w:space="0" w:color="auto"/>
        <w:right w:val="none" w:sz="0" w:space="0" w:color="auto"/>
      </w:divBdr>
    </w:div>
    <w:div w:id="512767873">
      <w:bodyDiv w:val="1"/>
      <w:marLeft w:val="0"/>
      <w:marRight w:val="0"/>
      <w:marTop w:val="0"/>
      <w:marBottom w:val="0"/>
      <w:divBdr>
        <w:top w:val="none" w:sz="0" w:space="0" w:color="auto"/>
        <w:left w:val="none" w:sz="0" w:space="0" w:color="auto"/>
        <w:bottom w:val="none" w:sz="0" w:space="0" w:color="auto"/>
        <w:right w:val="none" w:sz="0" w:space="0" w:color="auto"/>
      </w:divBdr>
    </w:div>
    <w:div w:id="206308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23@23.kadastr.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C26DE-D6DD-420F-9143-049601A7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Назаренко Варвара Сергеевна</dc:creator>
  <cp:keywords/>
  <dc:description/>
  <cp:lastModifiedBy>Назаренко Варвара Сергеевна</cp:lastModifiedBy>
  <cp:revision>11</cp:revision>
  <dcterms:created xsi:type="dcterms:W3CDTF">2023-03-10T06:59:00Z</dcterms:created>
  <dcterms:modified xsi:type="dcterms:W3CDTF">2023-07-06T14:20:00Z</dcterms:modified>
</cp:coreProperties>
</file>