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spacing w:after="0"/>
        <w:rPr>
          <w:rFonts w:ascii="Times New Roman" w:hAnsi="Times New Roman" w:cs="Times New Roman"/>
          <w:sz w:val="28"/>
        </w:rPr>
      </w:pPr>
    </w:p>
    <w:p>
      <w:pPr>
        <w:spacing w:after="0"/>
        <w:jc w:val="center"/>
        <w:rPr>
          <w:rFonts w:ascii="Times New Roman" w:hAnsi="Times New Roman" w:cs="Times New Roman"/>
          <w:sz w:val="28"/>
        </w:rPr>
      </w:pPr>
    </w:p>
    <w:p>
      <w:pPr>
        <w:spacing w:after="0"/>
        <w:jc w:val="right"/>
        <w:rPr>
          <w:rFonts w:ascii="Times New Roman" w:hAnsi="Times New Roman" w:cs="Times New Roman"/>
          <w:sz w:val="28"/>
        </w:rPr>
      </w:pPr>
    </w:p>
    <w:p>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Временные участки будут исключены из ЕГРН п</w:t>
      </w:r>
      <w:bookmarkStart w:id="0" w:name="_GoBack"/>
      <w:bookmarkEnd w:id="0"/>
      <w:r>
        <w:rPr>
          <w:rFonts w:ascii="Times New Roman" w:eastAsia="Times New Roman" w:hAnsi="Times New Roman" w:cs="Times New Roman"/>
          <w:b/>
          <w:bCs/>
          <w:sz w:val="28"/>
          <w:szCs w:val="28"/>
          <w:lang w:eastAsia="ru-RU"/>
        </w:rPr>
        <w:t>осле 1 марта 2022 года</w:t>
      </w:r>
      <w:r>
        <w:rPr>
          <w:rFonts w:ascii="Times New Roman" w:eastAsia="Times New Roman" w:hAnsi="Times New Roman" w:cs="Times New Roman"/>
          <w:b/>
          <w:bCs/>
          <w:sz w:val="28"/>
          <w:szCs w:val="28"/>
          <w:lang w:eastAsia="ru-RU"/>
        </w:rPr>
        <w:br/>
      </w:r>
    </w:p>
    <w:p>
      <w:pPr>
        <w:spacing w:after="120" w:line="360" w:lineRule="auto"/>
        <w:ind w:firstLine="709"/>
        <w:jc w:val="both"/>
        <w:rPr>
          <w:rFonts w:ascii="Times New Roman" w:hAnsi="Times New Roman" w:cs="Times New Roman"/>
          <w:b/>
          <w:sz w:val="28"/>
        </w:rPr>
      </w:pPr>
      <w:r>
        <w:rPr>
          <w:rFonts w:ascii="Times New Roman" w:hAnsi="Times New Roman" w:cs="Times New Roman"/>
          <w:b/>
          <w:sz w:val="28"/>
        </w:rPr>
        <w:t>1 марта 2022 года истекает срок действия временного статуса объектов недвижимости. В связи с этим сведения о земельных участках, которые носят временный характер, будут исключены из Единого государственного реестра недвижимости (ЕГРН).</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Временными признаны земельные участки, которые были образованы и поставлены на кадастровый учет в период с 1 марта 2008 года до 1 января 2017 года, и при этом права на такие участки не зарегистрированы.</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Из участка, носящего временный характер, нельзя образовать новый земельный участок. Исключить из ЕГРН временный участок можно на основании заявления собственника участка, в результате преобразования которого был образован временный участок. Если временный участок образован из земель, государственная собственность на которые не разграничена, заявление должен подавать орган власти или местного самоуправления, уполномоченный на распоряжение такими землями.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i/>
          <w:sz w:val="28"/>
        </w:rPr>
        <w:t>«Чтобы сведения ЕГРН из «временных» стали «актуальными», необходимо зарегистрировать права на земельный участок, либо оформить на него договор аренды или безвозмездного пользования, если участок находится в государственной или муниципальной собственности,»</w:t>
      </w:r>
      <w:r>
        <w:rPr>
          <w:rFonts w:ascii="Times New Roman" w:hAnsi="Times New Roman" w:cs="Times New Roman"/>
          <w:bCs/>
          <w:sz w:val="28"/>
        </w:rPr>
        <w:t xml:space="preserve"> – отметил </w:t>
      </w:r>
      <w:r>
        <w:rPr>
          <w:rFonts w:ascii="Times New Roman" w:hAnsi="Times New Roman" w:cs="Times New Roman"/>
          <w:b/>
          <w:bCs/>
          <w:sz w:val="28"/>
        </w:rPr>
        <w:t>начальник отдела нормализации баз данных Владимир Шмелев.</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Если права на участок не оформить до 1 марта 2022 года, статус сведений о земельном участке в ЕГРН будет изменен с «временного» на «архивный», а объект недвижимости будет снят с кадастрового учета.</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lastRenderedPageBreak/>
        <w:t>Обратите внимание! Снятие объектов недвижимости с кадастрового учета не означает прекращения прав на объект и не влечет изъятие земельного участка из пользования.</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«Ранее учтенные» земельные участки (права на которые возникли до 1 марта 2008 года и не были внесены в ЕГРН) не относятся к «временным». Соответственно порядок снятия с государственного кадастрового учета объектов недвижимости, которые носят временный характер, не относится к «ранее учтенным».</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Для изменения статуса «временный» на «актуальный», правообладателям земельных участков необходимо до 1 марта 2022 года обратиться с заявлением о государственной регистрации права на объект недвижимости в любой удобный офис МФЦ, либо направить заявление и необходимые документы в электронном виде на сайте Росреестра </w:t>
      </w:r>
      <w:hyperlink r:id="rId8" w:history="1">
        <w:r>
          <w:rPr>
            <w:rStyle w:val="ab"/>
            <w:rFonts w:ascii="Times New Roman" w:hAnsi="Times New Roman" w:cs="Times New Roman"/>
            <w:bCs/>
            <w:sz w:val="28"/>
          </w:rPr>
          <w:t>rosreestr.gov.ru</w:t>
        </w:r>
      </w:hyperlink>
      <w:r>
        <w:rPr>
          <w:rFonts w:ascii="Times New Roman" w:hAnsi="Times New Roman" w:cs="Times New Roman"/>
          <w:bCs/>
          <w:sz w:val="28"/>
        </w:rPr>
        <w:t>.</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Подать документы в бумажном виде можно также заказав выездное обслуживание на сайте Кадастровой палаты </w:t>
      </w:r>
      <w:hyperlink r:id="rId9" w:history="1">
        <w:r>
          <w:rPr>
            <w:rStyle w:val="ab"/>
            <w:rFonts w:ascii="Times New Roman" w:hAnsi="Times New Roman" w:cs="Times New Roman"/>
            <w:bCs/>
            <w:sz w:val="28"/>
          </w:rPr>
          <w:t>kadastr.ru</w:t>
        </w:r>
      </w:hyperlink>
      <w:r>
        <w:rPr>
          <w:rFonts w:ascii="Times New Roman" w:hAnsi="Times New Roman" w:cs="Times New Roman"/>
          <w:bCs/>
          <w:sz w:val="28"/>
        </w:rPr>
        <w:t>, по телефону 8 (861) 992-13-02, (доб. 2060 или 2061) либо по электронной почте uslugi-pay@23.kadastr.ru.</w:t>
      </w:r>
    </w:p>
    <w:p>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firstRow="1" w:lastRow="0" w:firstColumn="1" w:lastColumn="0" w:noHBand="0" w:noVBand="1"/>
      </w:tblPr>
      <w:tblGrid>
        <w:gridCol w:w="775"/>
        <w:gridCol w:w="4453"/>
        <w:gridCol w:w="672"/>
        <w:gridCol w:w="4480"/>
      </w:tblGrid>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hyperlink r:id="rId11" w:history="1">
              <w:r>
                <w:rPr>
                  <w:rFonts w:ascii="Segoe UI" w:eastAsia="Times New Roman" w:hAnsi="Segoe UI" w:cs="Segoe UI"/>
                  <w:color w:val="0563C1" w:themeColor="hyperlink"/>
                  <w:sz w:val="24"/>
                  <w:szCs w:val="28"/>
                  <w:u w:val="single"/>
                  <w:lang w:eastAsia="ru-RU"/>
                </w:rPr>
                <w:t>press23@23.kadastr.ru</w:t>
              </w:r>
            </w:hyperlink>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8"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2"/>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https://www.instagram.com/kadastr_kuban</w:t>
            </w:r>
          </w:p>
        </w:tc>
      </w:tr>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4"/>
                <w:lang w:eastAsia="ru-RU"/>
              </w:rPr>
              <w:drawing>
                <wp:inline distT="0" distB="0" distL="0" distR="0">
                  <wp:extent cx="361950" cy="361950"/>
                  <wp:effectExtent l="19050" t="0" r="0" b="0"/>
                  <wp:docPr id="10"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r>
              <w:rPr>
                <w:rFonts w:ascii="Segoe UI" w:eastAsia="Times New Roman" w:hAnsi="Segoe UI" w:cs="Segoe UI"/>
                <w:color w:val="0000FF"/>
                <w:sz w:val="24"/>
                <w:szCs w:val="28"/>
                <w:u w:val="single"/>
                <w:lang w:eastAsia="ru-RU"/>
              </w:rPr>
              <w:t>https://twitter.com/Kadastr_Kuban</w:t>
            </w:r>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4"/>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pPr>
        <w:spacing w:after="120" w:line="360" w:lineRule="auto"/>
        <w:ind w:firstLine="709"/>
        <w:jc w:val="both"/>
      </w:pPr>
    </w:p>
    <w:sectPr>
      <w:footerReference w:type="default" r:id="rId15"/>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 xml:space="preserve">ул. </w:t>
    </w:r>
    <w:proofErr w:type="spellStart"/>
    <w:r>
      <w:rPr>
        <w:rFonts w:ascii="Times New Roman" w:hAnsi="Times New Roman"/>
        <w:sz w:val="20"/>
      </w:rPr>
      <w:t>Сормовская</w:t>
    </w:r>
    <w:proofErr w:type="spellEnd"/>
    <w:r>
      <w:rPr>
        <w:rFonts w:ascii="Times New Roman" w:hAnsi="Times New Roman"/>
        <w:sz w:val="20"/>
      </w:rPr>
      <w:t>, д. 3, 350018</w:t>
    </w:r>
  </w:p>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rPr>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table" w:styleId="af1">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934173033">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site/"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23@23.kadastr.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kadastr.ru/services/vyezdnoe-obsluzhivanie/"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Назаренко Варвара Сергеевна</cp:lastModifiedBy>
  <cp:revision>62</cp:revision>
  <dcterms:created xsi:type="dcterms:W3CDTF">2021-07-30T12:29:00Z</dcterms:created>
  <dcterms:modified xsi:type="dcterms:W3CDTF">2021-09-23T11:24:00Z</dcterms:modified>
</cp:coreProperties>
</file>