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E0" w:rsidRDefault="00D533E0" w:rsidP="00D533E0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D533E0" w:rsidRPr="00D533E0" w:rsidRDefault="00D533E0" w:rsidP="00D533E0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D533E0" w:rsidRPr="00D533E0" w:rsidRDefault="00D533E0" w:rsidP="00D533E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D533E0">
        <w:rPr>
          <w:rFonts w:ascii="Segoe UI" w:hAnsi="Segoe UI" w:cs="Segoe UI"/>
          <w:b/>
          <w:sz w:val="32"/>
        </w:rPr>
        <w:t>Наводим мосты: как поставили на учет первый автомобильный мост из России в Китай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> 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38100</wp:posOffset>
            </wp:positionV>
            <wp:extent cx="2297430" cy="638175"/>
            <wp:effectExtent l="19050" t="0" r="7620" b="0"/>
            <wp:wrapTight wrapText="bothSides">
              <wp:wrapPolygon edited="0">
                <wp:start x="-179" y="0"/>
                <wp:lineTo x="-179" y="21278"/>
                <wp:lineTo x="21672" y="21278"/>
                <wp:lineTo x="21672" y="0"/>
                <wp:lineTo x="-179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3E0">
        <w:rPr>
          <w:rFonts w:ascii="Segoe UI" w:hAnsi="Segoe UI" w:cs="Segoe UI"/>
          <w:sz w:val="28"/>
        </w:rPr>
        <w:t>Российская часть первого автомобильного трансграничного моста, соединившего Россию и Китай через реку Амур, поставлена на кадастровый учет. Сведения об объекте внесены в Единый государственный реестр недвижимости, а также на Публичную кадастровую карту.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 xml:space="preserve">Строительство первого автомобильного пограничного мостового перехода через реку Амур между городами Благовещенск (Амурская область, РФ) – </w:t>
      </w:r>
      <w:proofErr w:type="spellStart"/>
      <w:r w:rsidRPr="00D533E0">
        <w:rPr>
          <w:rFonts w:ascii="Segoe UI" w:hAnsi="Segoe UI" w:cs="Segoe UI"/>
          <w:sz w:val="28"/>
        </w:rPr>
        <w:t>Хэйхэ</w:t>
      </w:r>
      <w:proofErr w:type="spellEnd"/>
      <w:r w:rsidRPr="00D533E0">
        <w:rPr>
          <w:rFonts w:ascii="Segoe UI" w:hAnsi="Segoe UI" w:cs="Segoe UI"/>
          <w:sz w:val="28"/>
        </w:rPr>
        <w:t xml:space="preserve"> (провинция </w:t>
      </w:r>
      <w:proofErr w:type="spellStart"/>
      <w:r w:rsidRPr="00D533E0">
        <w:rPr>
          <w:rFonts w:ascii="Segoe UI" w:hAnsi="Segoe UI" w:cs="Segoe UI"/>
          <w:sz w:val="28"/>
        </w:rPr>
        <w:t>Хэйлунцзян</w:t>
      </w:r>
      <w:proofErr w:type="spellEnd"/>
      <w:r w:rsidRPr="00D533E0">
        <w:rPr>
          <w:rFonts w:ascii="Segoe UI" w:hAnsi="Segoe UI" w:cs="Segoe UI"/>
          <w:sz w:val="28"/>
        </w:rPr>
        <w:t>, КНР) началось в 2016 году и завершилось в декабре 2019 года. В январе 2020 года проведены обследование и приемочные испытания мостового перехода. В мае 2020 года Минстрой выдал разрешение на ввод объекта в эксплуатацию. Это стало основанием для кадастрового учета российской части трансграничного моста.</w:t>
      </w:r>
    </w:p>
    <w:p w:rsid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533E0">
        <w:rPr>
          <w:rFonts w:ascii="Segoe UI" w:hAnsi="Segoe UI" w:cs="Segoe UI"/>
          <w:b/>
          <w:sz w:val="28"/>
        </w:rPr>
        <w:t>Кадастровый учет с присвоением кадастрового номера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 xml:space="preserve">Трансграничный мост представляет собой сооружение, части которого, расположенные на территориях разных государств, принадлежат разным странам. Российской Федерации </w:t>
      </w:r>
      <w:proofErr w:type="gramStart"/>
      <w:r w:rsidRPr="00D533E0">
        <w:rPr>
          <w:rFonts w:ascii="Segoe UI" w:hAnsi="Segoe UI" w:cs="Segoe UI"/>
          <w:sz w:val="28"/>
        </w:rPr>
        <w:t>принадлежат часть</w:t>
      </w:r>
      <w:proofErr w:type="gramEnd"/>
      <w:r w:rsidRPr="00D533E0">
        <w:rPr>
          <w:rFonts w:ascii="Segoe UI" w:hAnsi="Segoe UI" w:cs="Segoe UI"/>
          <w:sz w:val="28"/>
        </w:rPr>
        <w:t xml:space="preserve"> основного моста, автомобильный мост через протоку </w:t>
      </w:r>
      <w:proofErr w:type="spellStart"/>
      <w:r w:rsidRPr="00D533E0">
        <w:rPr>
          <w:rFonts w:ascii="Segoe UI" w:hAnsi="Segoe UI" w:cs="Segoe UI"/>
          <w:sz w:val="28"/>
        </w:rPr>
        <w:t>Каникурганскую</w:t>
      </w:r>
      <w:proofErr w:type="spellEnd"/>
      <w:r w:rsidRPr="00D533E0">
        <w:rPr>
          <w:rFonts w:ascii="Segoe UI" w:hAnsi="Segoe UI" w:cs="Segoe UI"/>
          <w:sz w:val="28"/>
        </w:rPr>
        <w:t>, а также подходы к нему. Китайская часть включает в себя расположенную на территории КНР часть основного моста с подходами к нему.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proofErr w:type="spellStart"/>
      <w:r w:rsidRPr="00D533E0">
        <w:rPr>
          <w:rFonts w:ascii="Segoe UI" w:hAnsi="Segoe UI" w:cs="Segoe UI"/>
          <w:sz w:val="28"/>
        </w:rPr>
        <w:t>Росреестром</w:t>
      </w:r>
      <w:proofErr w:type="spellEnd"/>
      <w:r w:rsidRPr="00D533E0">
        <w:rPr>
          <w:rFonts w:ascii="Segoe UI" w:hAnsi="Segoe UI" w:cs="Segoe UI"/>
          <w:sz w:val="28"/>
        </w:rPr>
        <w:t xml:space="preserve"> поставлена на кадастровый учет российская часть пограничного мостового перехода через реку Амур между городами Благовещенск (Амурская область, РФ) – </w:t>
      </w:r>
      <w:proofErr w:type="spellStart"/>
      <w:r w:rsidRPr="00D533E0">
        <w:rPr>
          <w:rFonts w:ascii="Segoe UI" w:hAnsi="Segoe UI" w:cs="Segoe UI"/>
          <w:sz w:val="28"/>
        </w:rPr>
        <w:t>Хэйхэ</w:t>
      </w:r>
      <w:proofErr w:type="spellEnd"/>
      <w:r w:rsidRPr="00D533E0">
        <w:rPr>
          <w:rFonts w:ascii="Segoe UI" w:hAnsi="Segoe UI" w:cs="Segoe UI"/>
          <w:sz w:val="28"/>
        </w:rPr>
        <w:t xml:space="preserve"> (провинция </w:t>
      </w:r>
      <w:proofErr w:type="spellStart"/>
      <w:r w:rsidRPr="00D533E0">
        <w:rPr>
          <w:rFonts w:ascii="Segoe UI" w:hAnsi="Segoe UI" w:cs="Segoe UI"/>
          <w:sz w:val="28"/>
        </w:rPr>
        <w:t>Хэйлунцзян</w:t>
      </w:r>
      <w:proofErr w:type="spellEnd"/>
      <w:r w:rsidRPr="00D533E0">
        <w:rPr>
          <w:rFonts w:ascii="Segoe UI" w:hAnsi="Segoe UI" w:cs="Segoe UI"/>
          <w:sz w:val="28"/>
        </w:rPr>
        <w:t>, КНР).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5F66E5">
        <w:rPr>
          <w:rFonts w:ascii="Segoe UI" w:hAnsi="Segoe UI" w:cs="Segoe UI"/>
          <w:i/>
          <w:sz w:val="28"/>
        </w:rPr>
        <w:t xml:space="preserve">«Мост «Благовещенск – </w:t>
      </w:r>
      <w:proofErr w:type="spellStart"/>
      <w:r w:rsidRPr="005F66E5">
        <w:rPr>
          <w:rFonts w:ascii="Segoe UI" w:hAnsi="Segoe UI" w:cs="Segoe UI"/>
          <w:i/>
          <w:sz w:val="28"/>
        </w:rPr>
        <w:t>Хэйхэ</w:t>
      </w:r>
      <w:proofErr w:type="spellEnd"/>
      <w:r w:rsidRPr="005F66E5">
        <w:rPr>
          <w:rFonts w:ascii="Segoe UI" w:hAnsi="Segoe UI" w:cs="Segoe UI"/>
          <w:i/>
          <w:sz w:val="28"/>
        </w:rPr>
        <w:t>» – важнейший инфраструктурный проект, который имеет стратегическое значение для Амурской области и всего Дальнего Востока. Новый объект открывает колоссальные возможности для роста экономики и развития международных связей России и Китая. Российская часть мостового перехода была поставлена на кадастровый учет в кратчайшие сроки»,</w:t>
      </w:r>
      <w:r w:rsidRPr="00D533E0">
        <w:rPr>
          <w:rFonts w:ascii="Segoe UI" w:hAnsi="Segoe UI" w:cs="Segoe UI"/>
          <w:sz w:val="28"/>
        </w:rPr>
        <w:t xml:space="preserve"> – </w:t>
      </w:r>
      <w:r w:rsidRPr="005F66E5">
        <w:rPr>
          <w:rFonts w:ascii="Segoe UI" w:hAnsi="Segoe UI" w:cs="Segoe UI"/>
          <w:b/>
          <w:sz w:val="28"/>
        </w:rPr>
        <w:t xml:space="preserve">отметил руководитель </w:t>
      </w:r>
      <w:proofErr w:type="spellStart"/>
      <w:r w:rsidRPr="005F66E5">
        <w:rPr>
          <w:rFonts w:ascii="Segoe UI" w:hAnsi="Segoe UI" w:cs="Segoe UI"/>
          <w:b/>
          <w:sz w:val="28"/>
        </w:rPr>
        <w:t>Росреестра</w:t>
      </w:r>
      <w:proofErr w:type="spellEnd"/>
      <w:r w:rsidRPr="005F66E5">
        <w:rPr>
          <w:rFonts w:ascii="Segoe UI" w:hAnsi="Segoe UI" w:cs="Segoe UI"/>
          <w:b/>
          <w:sz w:val="28"/>
        </w:rPr>
        <w:t xml:space="preserve"> Олег </w:t>
      </w:r>
      <w:proofErr w:type="spellStart"/>
      <w:r w:rsidRPr="005F66E5">
        <w:rPr>
          <w:rFonts w:ascii="Segoe UI" w:hAnsi="Segoe UI" w:cs="Segoe UI"/>
          <w:b/>
          <w:sz w:val="28"/>
        </w:rPr>
        <w:t>Скуфинский</w:t>
      </w:r>
      <w:proofErr w:type="spellEnd"/>
      <w:r w:rsidRPr="005F66E5">
        <w:rPr>
          <w:rFonts w:ascii="Segoe UI" w:hAnsi="Segoe UI" w:cs="Segoe UI"/>
          <w:b/>
          <w:sz w:val="28"/>
        </w:rPr>
        <w:t xml:space="preserve">, добавив, что этому предшествовала тесная работа амурского Управления </w:t>
      </w:r>
      <w:proofErr w:type="spellStart"/>
      <w:r w:rsidRPr="005F66E5">
        <w:rPr>
          <w:rFonts w:ascii="Segoe UI" w:hAnsi="Segoe UI" w:cs="Segoe UI"/>
          <w:b/>
          <w:sz w:val="28"/>
        </w:rPr>
        <w:t>Росреестра</w:t>
      </w:r>
      <w:proofErr w:type="spellEnd"/>
      <w:r w:rsidRPr="005F66E5">
        <w:rPr>
          <w:rFonts w:ascii="Segoe UI" w:hAnsi="Segoe UI" w:cs="Segoe UI"/>
          <w:b/>
          <w:sz w:val="28"/>
        </w:rPr>
        <w:t xml:space="preserve"> с застройщиком, </w:t>
      </w:r>
      <w:r w:rsidRPr="005F66E5">
        <w:rPr>
          <w:rFonts w:ascii="Segoe UI" w:hAnsi="Segoe UI" w:cs="Segoe UI"/>
          <w:b/>
          <w:sz w:val="28"/>
        </w:rPr>
        <w:lastRenderedPageBreak/>
        <w:t xml:space="preserve">кадастровыми инженерами и региональным управлением </w:t>
      </w:r>
      <w:proofErr w:type="spellStart"/>
      <w:r w:rsidRPr="005F66E5">
        <w:rPr>
          <w:rFonts w:ascii="Segoe UI" w:hAnsi="Segoe UI" w:cs="Segoe UI"/>
          <w:b/>
          <w:sz w:val="28"/>
        </w:rPr>
        <w:t>Минимущества</w:t>
      </w:r>
      <w:proofErr w:type="spellEnd"/>
      <w:r w:rsidRPr="00D533E0">
        <w:rPr>
          <w:rFonts w:ascii="Segoe UI" w:hAnsi="Segoe UI" w:cs="Segoe UI"/>
          <w:sz w:val="28"/>
        </w:rPr>
        <w:t>.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> 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533E0">
        <w:rPr>
          <w:rFonts w:ascii="Segoe UI" w:hAnsi="Segoe UI" w:cs="Segoe UI"/>
          <w:b/>
          <w:sz w:val="28"/>
        </w:rPr>
        <w:t>Внесение сведений в ЕГРН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>На основании учетных процедур сведения о российской части пограничного мостового перехода внесены в ЕГРН. Это основные характеристики сооружения, координаты, год ввода в эксплуатацию, кадастровый номер и другие сведения.</w:t>
      </w:r>
    </w:p>
    <w:p w:rsidR="00D533E0" w:rsidRPr="005F66E5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5F66E5">
        <w:rPr>
          <w:rFonts w:ascii="Segoe UI" w:hAnsi="Segoe UI" w:cs="Segoe UI"/>
          <w:i/>
          <w:sz w:val="28"/>
        </w:rPr>
        <w:t xml:space="preserve">«Наличие в Едином государственном реестре недвижимости описания российской части первого автомобильного моста в Китай – одно из условий успешной реализации градостроительной политики, развития </w:t>
      </w:r>
      <w:proofErr w:type="spellStart"/>
      <w:r w:rsidRPr="005F66E5">
        <w:rPr>
          <w:rFonts w:ascii="Segoe UI" w:hAnsi="Segoe UI" w:cs="Segoe UI"/>
          <w:i/>
          <w:sz w:val="28"/>
        </w:rPr>
        <w:t>транспортно-логистической</w:t>
      </w:r>
      <w:proofErr w:type="spellEnd"/>
      <w:r w:rsidRPr="005F66E5">
        <w:rPr>
          <w:rFonts w:ascii="Segoe UI" w:hAnsi="Segoe UI" w:cs="Segoe UI"/>
          <w:i/>
          <w:sz w:val="28"/>
        </w:rPr>
        <w:t xml:space="preserve"> инфраструктуры, выполнения инвестиционных планов. Постоянная актуализация сведений ЕГРН позволит гражданам, бизнесу и органам власти оперативно получать полную и достоверную информацию об объекте»,</w:t>
      </w:r>
      <w:r w:rsidRPr="00D533E0">
        <w:rPr>
          <w:rFonts w:ascii="Segoe UI" w:hAnsi="Segoe UI" w:cs="Segoe UI"/>
          <w:sz w:val="28"/>
        </w:rPr>
        <w:t xml:space="preserve"> – </w:t>
      </w:r>
      <w:r w:rsidRPr="005F66E5">
        <w:rPr>
          <w:rFonts w:ascii="Segoe UI" w:hAnsi="Segoe UI" w:cs="Segoe UI"/>
          <w:b/>
          <w:sz w:val="28"/>
        </w:rPr>
        <w:t xml:space="preserve">говорит глава Федеральной кадастровой палаты Вячеслав </w:t>
      </w:r>
      <w:proofErr w:type="spellStart"/>
      <w:r w:rsidRPr="005F66E5">
        <w:rPr>
          <w:rFonts w:ascii="Segoe UI" w:hAnsi="Segoe UI" w:cs="Segoe UI"/>
          <w:b/>
          <w:sz w:val="28"/>
        </w:rPr>
        <w:t>Спиренков</w:t>
      </w:r>
      <w:proofErr w:type="spellEnd"/>
      <w:r w:rsidRPr="005F66E5">
        <w:rPr>
          <w:rFonts w:ascii="Segoe UI" w:hAnsi="Segoe UI" w:cs="Segoe UI"/>
          <w:b/>
          <w:sz w:val="28"/>
        </w:rPr>
        <w:t>.</w:t>
      </w:r>
    </w:p>
    <w:p w:rsidR="000A2476" w:rsidRDefault="000A2476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533E0">
        <w:rPr>
          <w:rFonts w:ascii="Segoe UI" w:hAnsi="Segoe UI" w:cs="Segoe UI"/>
          <w:sz w:val="28"/>
        </w:rPr>
        <w:t> </w:t>
      </w:r>
      <w:r w:rsidRPr="00D533E0">
        <w:rPr>
          <w:rFonts w:ascii="Segoe UI" w:hAnsi="Segoe UI" w:cs="Segoe UI"/>
          <w:b/>
          <w:sz w:val="28"/>
        </w:rPr>
        <w:t>Визуализация объекта на ПКК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 xml:space="preserve">По словам Вячеслава </w:t>
      </w:r>
      <w:proofErr w:type="spellStart"/>
      <w:r w:rsidRPr="00D533E0">
        <w:rPr>
          <w:rFonts w:ascii="Segoe UI" w:hAnsi="Segoe UI" w:cs="Segoe UI"/>
          <w:sz w:val="28"/>
        </w:rPr>
        <w:t>Спиренкова</w:t>
      </w:r>
      <w:proofErr w:type="spellEnd"/>
      <w:r w:rsidRPr="00D533E0">
        <w:rPr>
          <w:rFonts w:ascii="Segoe UI" w:hAnsi="Segoe UI" w:cs="Segoe UI"/>
          <w:sz w:val="28"/>
        </w:rPr>
        <w:t>, внесение сведений в ЕГРН позволило также визуализировать объект на Публичной кадастровой </w:t>
      </w:r>
      <w:hyperlink r:id="rId5" w:history="1">
        <w:r w:rsidRPr="00D533E0">
          <w:rPr>
            <w:rStyle w:val="a3"/>
            <w:rFonts w:ascii="Segoe UI" w:hAnsi="Segoe UI" w:cs="Segoe UI"/>
            <w:sz w:val="28"/>
          </w:rPr>
          <w:t>карте</w:t>
        </w:r>
      </w:hyperlink>
      <w:r w:rsidRPr="00D533E0">
        <w:rPr>
          <w:rFonts w:ascii="Segoe UI" w:hAnsi="Segoe UI" w:cs="Segoe UI"/>
          <w:sz w:val="28"/>
        </w:rPr>
        <w:t xml:space="preserve"> (ПКК) – для работы с открытыми данными реестра недвижимости в картографическом формате. Любой желающий может ознакомиться с местоположением и основными характеристиками объекта в режиме </w:t>
      </w:r>
      <w:proofErr w:type="spellStart"/>
      <w:r w:rsidRPr="00D533E0">
        <w:rPr>
          <w:rFonts w:ascii="Segoe UI" w:hAnsi="Segoe UI" w:cs="Segoe UI"/>
          <w:sz w:val="28"/>
        </w:rPr>
        <w:t>онлайн</w:t>
      </w:r>
      <w:proofErr w:type="spellEnd"/>
      <w:r w:rsidRPr="00D533E0">
        <w:rPr>
          <w:rFonts w:ascii="Segoe UI" w:hAnsi="Segoe UI" w:cs="Segoe UI"/>
          <w:sz w:val="28"/>
        </w:rPr>
        <w:t>. Для быстрого поиска на карте достаточно ввести кадастровый номер российской части моста как объекта капитального строительства (ОКС) 28:10:000000:5701.</w:t>
      </w:r>
    </w:p>
    <w:p w:rsidR="00D533E0" w:rsidRP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proofErr w:type="spellStart"/>
      <w:r w:rsidRPr="00D533E0">
        <w:rPr>
          <w:rFonts w:ascii="Segoe UI" w:hAnsi="Segoe UI" w:cs="Segoe UI"/>
          <w:b/>
          <w:sz w:val="28"/>
        </w:rPr>
        <w:t>Справочно</w:t>
      </w:r>
      <w:proofErr w:type="spellEnd"/>
    </w:p>
    <w:p w:rsidR="00D533E0" w:rsidRDefault="00D533E0" w:rsidP="00D533E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533E0">
        <w:rPr>
          <w:rFonts w:ascii="Segoe UI" w:hAnsi="Segoe UI" w:cs="Segoe UI"/>
          <w:sz w:val="28"/>
        </w:rPr>
        <w:t xml:space="preserve">Мостовой переход Благовещенск (РФ) – </w:t>
      </w:r>
      <w:proofErr w:type="spellStart"/>
      <w:r w:rsidRPr="00D533E0">
        <w:rPr>
          <w:rFonts w:ascii="Segoe UI" w:hAnsi="Segoe UI" w:cs="Segoe UI"/>
          <w:sz w:val="28"/>
        </w:rPr>
        <w:t>Хэйхэ</w:t>
      </w:r>
      <w:proofErr w:type="spellEnd"/>
      <w:r w:rsidRPr="00D533E0">
        <w:rPr>
          <w:rFonts w:ascii="Segoe UI" w:hAnsi="Segoe UI" w:cs="Segoe UI"/>
          <w:sz w:val="28"/>
        </w:rPr>
        <w:t xml:space="preserve"> (КНР) через реку Амур представляет собой сталежелезобетонный </w:t>
      </w:r>
      <w:proofErr w:type="spellStart"/>
      <w:r w:rsidRPr="00D533E0">
        <w:rPr>
          <w:rFonts w:ascii="Segoe UI" w:hAnsi="Segoe UI" w:cs="Segoe UI"/>
          <w:sz w:val="28"/>
        </w:rPr>
        <w:t>экстрадозный</w:t>
      </w:r>
      <w:proofErr w:type="spellEnd"/>
      <w:r w:rsidRPr="00D533E0">
        <w:rPr>
          <w:rFonts w:ascii="Segoe UI" w:hAnsi="Segoe UI" w:cs="Segoe UI"/>
          <w:sz w:val="28"/>
        </w:rPr>
        <w:t xml:space="preserve"> мост с </w:t>
      </w:r>
      <w:proofErr w:type="spellStart"/>
      <w:r w:rsidRPr="00D533E0">
        <w:rPr>
          <w:rFonts w:ascii="Segoe UI" w:hAnsi="Segoe UI" w:cs="Segoe UI"/>
          <w:sz w:val="28"/>
        </w:rPr>
        <w:t>двухполосной</w:t>
      </w:r>
      <w:proofErr w:type="spellEnd"/>
      <w:r w:rsidRPr="00D533E0">
        <w:rPr>
          <w:rFonts w:ascii="Segoe UI" w:hAnsi="Segoe UI" w:cs="Segoe UI"/>
          <w:sz w:val="28"/>
        </w:rPr>
        <w:t xml:space="preserve"> автодорогой и тремя судоходными пролетами. Протяженность основного моста составляет 1080 м, общая длина мостового перехода – более 20 км, из которых 13,4 км подъездных путей расположены на территории России, а 6,7 км – в Китае.</w:t>
      </w: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797"/>
        <w:gridCol w:w="4355"/>
      </w:tblGrid>
      <w:tr w:rsidR="00D533E0" w:rsidRPr="004E64F4" w:rsidTr="00D533E0">
        <w:trPr>
          <w:jc w:val="center"/>
        </w:trPr>
        <w:tc>
          <w:tcPr>
            <w:tcW w:w="775" w:type="dxa"/>
            <w:hideMark/>
          </w:tcPr>
          <w:p w:rsidR="00D533E0" w:rsidRPr="004E64F4" w:rsidRDefault="00D533E0" w:rsidP="00D533E0">
            <w:pPr>
              <w:jc w:val="center"/>
              <w:rPr>
                <w:rFonts w:ascii="Segoe UI" w:hAnsi="Segoe UI" w:cs="Segoe UI"/>
                <w:color w:val="0000FF"/>
                <w:szCs w:val="28"/>
              </w:rPr>
            </w:pPr>
          </w:p>
        </w:tc>
        <w:tc>
          <w:tcPr>
            <w:tcW w:w="4453" w:type="dxa"/>
            <w:hideMark/>
          </w:tcPr>
          <w:p w:rsidR="00D533E0" w:rsidRPr="004E64F4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  <w:tc>
          <w:tcPr>
            <w:tcW w:w="797" w:type="dxa"/>
            <w:hideMark/>
          </w:tcPr>
          <w:p w:rsidR="00D533E0" w:rsidRPr="004E64F4" w:rsidRDefault="00D533E0" w:rsidP="0067629E">
            <w:pPr>
              <w:spacing w:after="0"/>
              <w:contextualSpacing/>
              <w:rPr>
                <w:rStyle w:val="a3"/>
                <w:rFonts w:ascii="Segoe UI" w:hAnsi="Segoe UI" w:cs="Segoe UI"/>
                <w:noProof/>
              </w:rPr>
            </w:pPr>
          </w:p>
        </w:tc>
        <w:tc>
          <w:tcPr>
            <w:tcW w:w="4355" w:type="dxa"/>
            <w:hideMark/>
          </w:tcPr>
          <w:p w:rsidR="00D533E0" w:rsidRPr="004E64F4" w:rsidRDefault="00D533E0" w:rsidP="0067629E">
            <w:pPr>
              <w:spacing w:after="0"/>
              <w:ind w:hanging="233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</w:tr>
      <w:tr w:rsidR="00D533E0" w:rsidRPr="004E64F4" w:rsidTr="00D533E0">
        <w:trPr>
          <w:jc w:val="center"/>
        </w:trPr>
        <w:tc>
          <w:tcPr>
            <w:tcW w:w="775" w:type="dxa"/>
            <w:hideMark/>
          </w:tcPr>
          <w:p w:rsidR="00D533E0" w:rsidRPr="004E64F4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</w:p>
        </w:tc>
        <w:tc>
          <w:tcPr>
            <w:tcW w:w="4453" w:type="dxa"/>
            <w:hideMark/>
          </w:tcPr>
          <w:p w:rsidR="00D533E0" w:rsidRPr="004E64F4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  <w:tc>
          <w:tcPr>
            <w:tcW w:w="797" w:type="dxa"/>
            <w:hideMark/>
          </w:tcPr>
          <w:p w:rsidR="00D533E0" w:rsidRPr="004E64F4" w:rsidRDefault="00D533E0" w:rsidP="0067629E">
            <w:pPr>
              <w:spacing w:after="0"/>
              <w:contextualSpacing/>
              <w:rPr>
                <w:rStyle w:val="a3"/>
                <w:rFonts w:ascii="Segoe UI" w:hAnsi="Segoe UI" w:cs="Segoe UI"/>
                <w:noProof/>
              </w:rPr>
            </w:pPr>
          </w:p>
        </w:tc>
        <w:tc>
          <w:tcPr>
            <w:tcW w:w="4355" w:type="dxa"/>
            <w:hideMark/>
          </w:tcPr>
          <w:p w:rsidR="00D533E0" w:rsidRPr="004E64F4" w:rsidRDefault="00D533E0" w:rsidP="0067629E">
            <w:pPr>
              <w:spacing w:after="0"/>
              <w:ind w:hanging="165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</w:p>
        </w:tc>
      </w:tr>
    </w:tbl>
    <w:p w:rsidR="00D533E0" w:rsidRDefault="00D533E0" w:rsidP="00D533E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D533E0" w:rsidRDefault="00D533E0" w:rsidP="00D533E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1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D533E0" w:rsidRDefault="00D533E0" w:rsidP="00D533E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D533E0" w:rsidRDefault="00D533E0" w:rsidP="00D533E0">
      <w:pPr>
        <w:pStyle w:val="a4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D533E0" w:rsidTr="0067629E">
        <w:trPr>
          <w:jc w:val="center"/>
        </w:trPr>
        <w:tc>
          <w:tcPr>
            <w:tcW w:w="774" w:type="dxa"/>
            <w:hideMark/>
          </w:tcPr>
          <w:p w:rsidR="00D533E0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14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533E0" w:rsidRDefault="00F3460F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 w:rsidR="00D533E0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D533E0" w:rsidRDefault="00D533E0" w:rsidP="0067629E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533E0" w:rsidRDefault="00D533E0" w:rsidP="0067629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D533E0" w:rsidTr="0067629E">
        <w:trPr>
          <w:jc w:val="center"/>
        </w:trPr>
        <w:tc>
          <w:tcPr>
            <w:tcW w:w="774" w:type="dxa"/>
            <w:hideMark/>
          </w:tcPr>
          <w:p w:rsidR="00D533E0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6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533E0" w:rsidRDefault="00D533E0" w:rsidP="0067629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D533E0" w:rsidRDefault="00D533E0" w:rsidP="0067629E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533E0" w:rsidRDefault="00D533E0" w:rsidP="0067629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BF3E78" w:rsidRDefault="00BF3E78"/>
    <w:sectPr w:rsidR="00BF3E78" w:rsidSect="00D53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33E0"/>
    <w:rsid w:val="000A2476"/>
    <w:rsid w:val="005F66E5"/>
    <w:rsid w:val="00BF3E78"/>
    <w:rsid w:val="00D533E0"/>
    <w:rsid w:val="00F3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0F"/>
  </w:style>
  <w:style w:type="paragraph" w:styleId="1">
    <w:name w:val="heading 1"/>
    <w:basedOn w:val="a"/>
    <w:link w:val="10"/>
    <w:uiPriority w:val="9"/>
    <w:qFormat/>
    <w:rsid w:val="00D53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3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533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242">
              <w:marLeft w:val="2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pkk.rosreestr.ru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2020-06-17T07:15:00Z</dcterms:created>
  <dcterms:modified xsi:type="dcterms:W3CDTF">2020-06-18T05:59:00Z</dcterms:modified>
</cp:coreProperties>
</file>